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489" w:rsidRPr="00E14E73" w:rsidRDefault="00E14E73" w:rsidP="00E14E73">
      <w:pPr>
        <w:spacing w:after="0" w:line="240" w:lineRule="auto"/>
        <w:ind w:left="1440" w:right="1620"/>
        <w:jc w:val="center"/>
        <w:rPr>
          <w:b/>
          <w:noProof/>
          <w:color w:val="0070C0"/>
          <w:sz w:val="16"/>
          <w:szCs w:val="16"/>
        </w:rPr>
      </w:pPr>
      <w:r>
        <w:rPr>
          <w:b/>
          <w:noProof/>
          <w:color w:val="0070C0"/>
          <w:sz w:val="16"/>
          <w:szCs w:val="16"/>
        </w:rPr>
        <w:drawing>
          <wp:inline distT="0" distB="0" distL="0" distR="0">
            <wp:extent cx="3513667" cy="1692267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LED Logo - lo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9173" cy="1694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489" w:rsidRDefault="00932489" w:rsidP="00163BC0">
      <w:pPr>
        <w:spacing w:after="0" w:line="240" w:lineRule="auto"/>
        <w:jc w:val="center"/>
        <w:rPr>
          <w:rFonts w:cs="Arial"/>
          <w:b/>
          <w:color w:val="0070C0"/>
          <w:sz w:val="14"/>
          <w:szCs w:val="36"/>
        </w:rPr>
      </w:pPr>
    </w:p>
    <w:p w:rsidR="00F87FE5" w:rsidRDefault="00F87FE5" w:rsidP="00E14E73">
      <w:pPr>
        <w:spacing w:after="0" w:line="240" w:lineRule="auto"/>
        <w:rPr>
          <w:rFonts w:cs="Arial"/>
          <w:b/>
          <w:color w:val="0070C0"/>
          <w:sz w:val="14"/>
          <w:szCs w:val="36"/>
        </w:rPr>
      </w:pPr>
    </w:p>
    <w:p w:rsidR="00E14E73" w:rsidRPr="00F87FE5" w:rsidRDefault="00E14E73" w:rsidP="00E14E73">
      <w:pPr>
        <w:spacing w:after="0" w:line="240" w:lineRule="auto"/>
        <w:rPr>
          <w:rFonts w:cs="Arial"/>
          <w:b/>
          <w:color w:val="0070C0"/>
          <w:sz w:val="14"/>
          <w:szCs w:val="36"/>
        </w:rPr>
      </w:pPr>
    </w:p>
    <w:p w:rsidR="00163BC0" w:rsidRPr="00163BC0" w:rsidRDefault="00163BC0" w:rsidP="00163BC0">
      <w:pPr>
        <w:spacing w:after="0" w:line="240" w:lineRule="auto"/>
        <w:jc w:val="center"/>
        <w:rPr>
          <w:rFonts w:cs="Arial"/>
          <w:b/>
          <w:color w:val="2A8F1E"/>
          <w:sz w:val="36"/>
          <w:szCs w:val="36"/>
        </w:rPr>
      </w:pPr>
      <w:r w:rsidRPr="00163BC0">
        <w:rPr>
          <w:rFonts w:cs="Arial"/>
          <w:b/>
          <w:color w:val="2A8F1E"/>
          <w:sz w:val="36"/>
          <w:szCs w:val="36"/>
        </w:rPr>
        <w:t>Nursing Protocol</w:t>
      </w:r>
    </w:p>
    <w:p w:rsidR="00163BC0" w:rsidRPr="00F87FE5" w:rsidRDefault="00163BC0" w:rsidP="00163BC0">
      <w:pPr>
        <w:spacing w:after="0" w:line="240" w:lineRule="auto"/>
        <w:jc w:val="center"/>
        <w:rPr>
          <w:b/>
          <w:color w:val="0070C0"/>
          <w:sz w:val="18"/>
          <w:szCs w:val="36"/>
        </w:rPr>
      </w:pPr>
      <w:r w:rsidRPr="00163BC0">
        <w:rPr>
          <w:b/>
          <w:color w:val="2A8F1E"/>
          <w:sz w:val="36"/>
          <w:szCs w:val="36"/>
        </w:rPr>
        <w:t>Nasal Antiseptic (10% Povidone-Iodine)</w:t>
      </w:r>
      <w:r w:rsidRPr="00163BC0">
        <w:rPr>
          <w:b/>
          <w:color w:val="2A8F1E"/>
          <w:sz w:val="36"/>
          <w:szCs w:val="36"/>
        </w:rPr>
        <w:br/>
      </w:r>
    </w:p>
    <w:p w:rsidR="00163BC0" w:rsidRPr="00163BC0" w:rsidRDefault="00163BC0" w:rsidP="00163BC0">
      <w:pPr>
        <w:spacing w:after="0" w:line="240" w:lineRule="auto"/>
        <w:rPr>
          <w:b/>
          <w:color w:val="2A8F1E"/>
          <w:sz w:val="32"/>
          <w:szCs w:val="36"/>
        </w:rPr>
      </w:pPr>
      <w:r w:rsidRPr="00163BC0">
        <w:rPr>
          <w:b/>
          <w:color w:val="2A8F1E"/>
          <w:sz w:val="32"/>
          <w:szCs w:val="36"/>
        </w:rPr>
        <w:t>Who should receive iodophor?</w:t>
      </w:r>
    </w:p>
    <w:p w:rsidR="00163BC0" w:rsidRPr="00163BC0" w:rsidRDefault="00163BC0" w:rsidP="00163BC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63BC0">
        <w:rPr>
          <w:sz w:val="28"/>
          <w:szCs w:val="28"/>
        </w:rPr>
        <w:t>A</w:t>
      </w:r>
      <w:r w:rsidR="00E14E73">
        <w:rPr>
          <w:sz w:val="28"/>
          <w:szCs w:val="28"/>
        </w:rPr>
        <w:t>dult residents in nursing homes</w:t>
      </w:r>
    </w:p>
    <w:p w:rsidR="00163BC0" w:rsidRPr="000B4A74" w:rsidRDefault="00163BC0" w:rsidP="00163B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0B4A74">
        <w:rPr>
          <w:sz w:val="28"/>
          <w:szCs w:val="28"/>
        </w:rPr>
        <w:t xml:space="preserve">Use </w:t>
      </w:r>
      <w:r>
        <w:rPr>
          <w:sz w:val="28"/>
          <w:szCs w:val="28"/>
        </w:rPr>
        <w:t xml:space="preserve">on admission twice daily for 5 days and then </w:t>
      </w:r>
      <w:r w:rsidRPr="000B4A74">
        <w:rPr>
          <w:sz w:val="28"/>
          <w:szCs w:val="28"/>
        </w:rPr>
        <w:t>twice daily for 5 days</w:t>
      </w:r>
      <w:r>
        <w:rPr>
          <w:sz w:val="28"/>
          <w:szCs w:val="28"/>
        </w:rPr>
        <w:t xml:space="preserve"> according to the nursing home’s every other week schedule </w:t>
      </w:r>
      <w:r w:rsidRPr="000B4A74">
        <w:rPr>
          <w:sz w:val="28"/>
          <w:szCs w:val="28"/>
        </w:rPr>
        <w:t>until discharge</w:t>
      </w:r>
    </w:p>
    <w:p w:rsidR="00163BC0" w:rsidRDefault="00163BC0" w:rsidP="00163B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B91DF7">
        <w:rPr>
          <w:sz w:val="28"/>
          <w:szCs w:val="28"/>
        </w:rPr>
        <w:t xml:space="preserve">Do not use if the </w:t>
      </w:r>
      <w:r>
        <w:rPr>
          <w:sz w:val="28"/>
          <w:szCs w:val="28"/>
        </w:rPr>
        <w:t>resident</w:t>
      </w:r>
      <w:r w:rsidRPr="00B91DF7">
        <w:rPr>
          <w:sz w:val="28"/>
          <w:szCs w:val="28"/>
        </w:rPr>
        <w:t xml:space="preserve"> has an allergy to </w:t>
      </w:r>
      <w:r>
        <w:rPr>
          <w:sz w:val="28"/>
          <w:szCs w:val="28"/>
        </w:rPr>
        <w:t>iodine</w:t>
      </w:r>
    </w:p>
    <w:p w:rsidR="00163BC0" w:rsidRDefault="00163BC0" w:rsidP="00163B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If a resident is readmitted to the nursing home, the protocol starts again, including the admission treatment</w:t>
      </w:r>
    </w:p>
    <w:p w:rsidR="00163BC0" w:rsidRPr="00932489" w:rsidRDefault="00163BC0" w:rsidP="00163BC0">
      <w:pPr>
        <w:pStyle w:val="ListParagraph"/>
        <w:spacing w:after="0" w:line="240" w:lineRule="auto"/>
        <w:jc w:val="both"/>
        <w:rPr>
          <w:sz w:val="20"/>
          <w:szCs w:val="28"/>
        </w:rPr>
      </w:pPr>
    </w:p>
    <w:p w:rsidR="00163BC0" w:rsidRPr="00163BC0" w:rsidRDefault="00163BC0" w:rsidP="00163BC0">
      <w:pPr>
        <w:spacing w:after="0" w:line="240" w:lineRule="auto"/>
        <w:jc w:val="both"/>
        <w:rPr>
          <w:color w:val="2A8F1E"/>
          <w:sz w:val="28"/>
          <w:szCs w:val="28"/>
        </w:rPr>
      </w:pPr>
      <w:r w:rsidRPr="00163BC0">
        <w:rPr>
          <w:rFonts w:cs="Arial"/>
          <w:b/>
          <w:bCs/>
          <w:noProof/>
          <w:color w:val="2A8F1E"/>
          <w:sz w:val="32"/>
          <w:szCs w:val="32"/>
        </w:rPr>
        <w:t>Excluded residents</w:t>
      </w:r>
    </w:p>
    <w:p w:rsidR="00163BC0" w:rsidRPr="00CE6BE3" w:rsidRDefault="00163BC0" w:rsidP="00163B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Known allergy to iodophor or iodine</w:t>
      </w:r>
    </w:p>
    <w:p w:rsidR="00163BC0" w:rsidRPr="00FC73CE" w:rsidRDefault="00163BC0" w:rsidP="00FC73CE">
      <w:pPr>
        <w:spacing w:after="0" w:line="240" w:lineRule="auto"/>
        <w:jc w:val="both"/>
        <w:rPr>
          <w:sz w:val="20"/>
          <w:szCs w:val="28"/>
        </w:rPr>
      </w:pPr>
    </w:p>
    <w:p w:rsidR="00163BC0" w:rsidRPr="00163BC0" w:rsidRDefault="00163BC0" w:rsidP="00163BC0">
      <w:pPr>
        <w:spacing w:after="0" w:line="240" w:lineRule="auto"/>
        <w:jc w:val="both"/>
        <w:rPr>
          <w:color w:val="2A8F1E"/>
          <w:sz w:val="28"/>
          <w:szCs w:val="28"/>
        </w:rPr>
      </w:pPr>
      <w:r w:rsidRPr="00163BC0">
        <w:rPr>
          <w:rFonts w:cs="Arial"/>
          <w:b/>
          <w:bCs/>
          <w:noProof/>
          <w:color w:val="2A8F1E"/>
          <w:sz w:val="32"/>
          <w:szCs w:val="32"/>
        </w:rPr>
        <w:t>Who can administer iodophor?</w:t>
      </w:r>
    </w:p>
    <w:p w:rsidR="00163BC0" w:rsidRDefault="00163BC0" w:rsidP="00163B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C33C56">
        <w:rPr>
          <w:sz w:val="28"/>
          <w:szCs w:val="28"/>
        </w:rPr>
        <w:t>Only licensed nurses can administer iodophor</w:t>
      </w:r>
    </w:p>
    <w:p w:rsidR="00163BC0" w:rsidRPr="00932489" w:rsidRDefault="00163BC0" w:rsidP="00163BC0">
      <w:pPr>
        <w:pStyle w:val="ListParagraph"/>
        <w:spacing w:after="0" w:line="240" w:lineRule="auto"/>
        <w:jc w:val="both"/>
        <w:rPr>
          <w:sz w:val="20"/>
          <w:szCs w:val="28"/>
        </w:rPr>
      </w:pPr>
    </w:p>
    <w:p w:rsidR="00163BC0" w:rsidRPr="008F0B1A" w:rsidRDefault="00163BC0" w:rsidP="00163BC0">
      <w:pPr>
        <w:shd w:val="clear" w:color="auto" w:fill="D6E3BC" w:themeFill="accent3" w:themeFillTint="66"/>
        <w:spacing w:after="0" w:line="240" w:lineRule="auto"/>
        <w:jc w:val="both"/>
        <w:rPr>
          <w:sz w:val="24"/>
          <w:szCs w:val="28"/>
        </w:rPr>
      </w:pPr>
      <w:r w:rsidRPr="008F0B1A">
        <w:rPr>
          <w:rFonts w:cs="Arial"/>
          <w:b/>
          <w:bCs/>
          <w:noProof/>
          <w:sz w:val="28"/>
          <w:szCs w:val="32"/>
        </w:rPr>
        <w:t xml:space="preserve">Protocol for </w:t>
      </w:r>
      <w:r>
        <w:rPr>
          <w:rFonts w:cs="Arial"/>
          <w:b/>
          <w:bCs/>
          <w:noProof/>
          <w:sz w:val="28"/>
          <w:szCs w:val="32"/>
        </w:rPr>
        <w:t>U</w:t>
      </w:r>
      <w:r w:rsidRPr="008F0B1A">
        <w:rPr>
          <w:rFonts w:cs="Arial"/>
          <w:b/>
          <w:bCs/>
          <w:noProof/>
          <w:sz w:val="28"/>
          <w:szCs w:val="32"/>
        </w:rPr>
        <w:t>sing Iodophor</w:t>
      </w:r>
    </w:p>
    <w:p w:rsidR="000E3547" w:rsidRPr="0044585E" w:rsidRDefault="00163BC0" w:rsidP="000E354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  <w:sz w:val="28"/>
          <w:szCs w:val="28"/>
        </w:rPr>
      </w:pPr>
      <w:r w:rsidRPr="000155B5">
        <w:rPr>
          <w:sz w:val="28"/>
          <w:szCs w:val="28"/>
        </w:rPr>
        <w:t>Place resident’s bed at 30 degrees, if tolerated</w:t>
      </w:r>
      <w:r w:rsidR="00103517">
        <w:rPr>
          <w:sz w:val="28"/>
          <w:szCs w:val="28"/>
        </w:rPr>
        <w:t>.</w:t>
      </w:r>
    </w:p>
    <w:p w:rsidR="000E3547" w:rsidRPr="0044585E" w:rsidRDefault="000E3547" w:rsidP="00E91EE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8"/>
          <w:szCs w:val="28"/>
        </w:rPr>
      </w:pPr>
      <w:r w:rsidRPr="0044585E">
        <w:rPr>
          <w:sz w:val="28"/>
          <w:szCs w:val="28"/>
        </w:rPr>
        <w:t xml:space="preserve">Inspect resident’s nose for any </w:t>
      </w:r>
      <w:r w:rsidR="00E91EE2" w:rsidRPr="0044585E">
        <w:rPr>
          <w:sz w:val="28"/>
          <w:szCs w:val="28"/>
        </w:rPr>
        <w:t xml:space="preserve">pre-existing </w:t>
      </w:r>
      <w:r w:rsidRPr="0044585E">
        <w:rPr>
          <w:sz w:val="28"/>
          <w:szCs w:val="28"/>
        </w:rPr>
        <w:t>lesions prior to administrating iodophor for the first time and document if any.</w:t>
      </w:r>
      <w:r w:rsidR="004B1382" w:rsidRPr="0044585E">
        <w:rPr>
          <w:sz w:val="28"/>
          <w:szCs w:val="28"/>
        </w:rPr>
        <w:t xml:space="preserve"> Although rare, allergic reaction or local irritation at the site of application can occur. To help properly address this potential concern, nurse should be aware of any pre-existing lesions that resident has prior to the first iodophor application. </w:t>
      </w:r>
      <w:r w:rsidR="00E91EE2" w:rsidRPr="0044585E">
        <w:rPr>
          <w:rFonts w:eastAsia="Times New Roman" w:cs="Calibri"/>
          <w:sz w:val="28"/>
          <w:szCs w:val="28"/>
        </w:rPr>
        <w:t>This will help to distinguish between product-related and product-unrelated reactions if any occur.</w:t>
      </w:r>
    </w:p>
    <w:p w:rsidR="00163BC0" w:rsidRPr="000155B5" w:rsidRDefault="00163BC0" w:rsidP="00163BC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b/>
          <w:sz w:val="28"/>
          <w:szCs w:val="28"/>
        </w:rPr>
      </w:pPr>
      <w:r w:rsidRPr="000155B5">
        <w:rPr>
          <w:sz w:val="28"/>
          <w:szCs w:val="28"/>
        </w:rPr>
        <w:t>Have resident use a tissue to blow their nose or clean the nares and tip of nostril. Discard tissue.</w:t>
      </w:r>
    </w:p>
    <w:p w:rsidR="00163BC0" w:rsidRDefault="00163BC0" w:rsidP="00163BC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Insert swab into one nostril and rotate for 30 seconds covering all surfaces. </w:t>
      </w:r>
      <w:r w:rsidRPr="00234E26">
        <w:rPr>
          <w:sz w:val="28"/>
          <w:szCs w:val="28"/>
        </w:rPr>
        <w:t>Apply in a circular manner to entire surface of inner nose at least 3 times. Discard swab.</w:t>
      </w:r>
    </w:p>
    <w:p w:rsidR="00D90386" w:rsidRPr="00D90386" w:rsidRDefault="00D90386" w:rsidP="00D90386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D90386">
        <w:rPr>
          <w:sz w:val="28"/>
          <w:szCs w:val="28"/>
        </w:rPr>
        <w:t>Using the second swab, repeat step 3 in the other nostril (swab 2)</w:t>
      </w:r>
      <w:r w:rsidR="00103517">
        <w:rPr>
          <w:sz w:val="28"/>
          <w:szCs w:val="28"/>
        </w:rPr>
        <w:t>.</w:t>
      </w:r>
    </w:p>
    <w:p w:rsidR="00163BC0" w:rsidRPr="00154E39" w:rsidRDefault="00163BC0" w:rsidP="00163BC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154E39">
        <w:rPr>
          <w:sz w:val="28"/>
          <w:szCs w:val="28"/>
        </w:rPr>
        <w:t>Do not blow nose. If solution drips, dab with tissue</w:t>
      </w:r>
      <w:r w:rsidR="00D90386">
        <w:rPr>
          <w:sz w:val="28"/>
          <w:szCs w:val="28"/>
        </w:rPr>
        <w:t>.</w:t>
      </w:r>
    </w:p>
    <w:p w:rsidR="00163BC0" w:rsidRPr="00F87FE5" w:rsidRDefault="00163BC0" w:rsidP="00F87FE5">
      <w:pPr>
        <w:pStyle w:val="ListParagraph"/>
        <w:numPr>
          <w:ilvl w:val="0"/>
          <w:numId w:val="5"/>
        </w:numPr>
        <w:spacing w:after="0" w:line="240" w:lineRule="auto"/>
        <w:ind w:right="-270"/>
        <w:jc w:val="both"/>
        <w:rPr>
          <w:b/>
          <w:sz w:val="28"/>
          <w:szCs w:val="28"/>
        </w:rPr>
      </w:pPr>
      <w:r w:rsidRPr="00B91DF7">
        <w:rPr>
          <w:sz w:val="28"/>
          <w:szCs w:val="28"/>
        </w:rPr>
        <w:t>Do this twice a day for 5 days</w:t>
      </w:r>
      <w:r>
        <w:rPr>
          <w:sz w:val="28"/>
          <w:szCs w:val="28"/>
        </w:rPr>
        <w:t xml:space="preserve"> on admission, and then repeat every other week</w:t>
      </w:r>
      <w:r w:rsidR="00103517">
        <w:rPr>
          <w:sz w:val="28"/>
          <w:szCs w:val="28"/>
        </w:rPr>
        <w:t>.</w:t>
      </w:r>
    </w:p>
    <w:p w:rsidR="00E14E73" w:rsidRDefault="00E14E73" w:rsidP="00163BC0">
      <w:pPr>
        <w:spacing w:after="0" w:line="240" w:lineRule="auto"/>
        <w:jc w:val="both"/>
        <w:rPr>
          <w:rFonts w:cs="Arial"/>
          <w:b/>
          <w:bCs/>
          <w:noProof/>
          <w:color w:val="2A8F1E"/>
          <w:sz w:val="32"/>
          <w:szCs w:val="32"/>
        </w:rPr>
      </w:pPr>
    </w:p>
    <w:p w:rsidR="00163BC0" w:rsidRPr="00A7580C" w:rsidRDefault="00163BC0" w:rsidP="00163BC0">
      <w:pPr>
        <w:spacing w:after="0" w:line="240" w:lineRule="auto"/>
        <w:jc w:val="both"/>
        <w:rPr>
          <w:rFonts w:cs="Arial"/>
          <w:b/>
          <w:bCs/>
          <w:noProof/>
          <w:color w:val="2A8F1E"/>
          <w:sz w:val="32"/>
          <w:szCs w:val="32"/>
        </w:rPr>
      </w:pPr>
      <w:r w:rsidRPr="00A7580C">
        <w:rPr>
          <w:rFonts w:cs="Arial"/>
          <w:b/>
          <w:bCs/>
          <w:noProof/>
          <w:color w:val="2A8F1E"/>
          <w:sz w:val="32"/>
          <w:szCs w:val="32"/>
        </w:rPr>
        <w:t>Special Circumstances</w:t>
      </w:r>
    </w:p>
    <w:p w:rsidR="00163BC0" w:rsidRDefault="00163BC0" w:rsidP="00163B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BB5C84">
        <w:rPr>
          <w:sz w:val="28"/>
          <w:szCs w:val="28"/>
        </w:rPr>
        <w:t>If nasal devices are in place (e.g. nasal intubation, NG tubes), swab iodophor around tubing</w:t>
      </w:r>
      <w:r>
        <w:rPr>
          <w:sz w:val="28"/>
          <w:szCs w:val="28"/>
        </w:rPr>
        <w:t>,</w:t>
      </w:r>
      <w:r w:rsidRPr="00BB5C84">
        <w:rPr>
          <w:sz w:val="28"/>
          <w:szCs w:val="28"/>
        </w:rPr>
        <w:t xml:space="preserve"> if possible</w:t>
      </w:r>
      <w:r w:rsidR="00103517">
        <w:rPr>
          <w:sz w:val="28"/>
          <w:szCs w:val="28"/>
        </w:rPr>
        <w:t>.</w:t>
      </w:r>
    </w:p>
    <w:p w:rsidR="00163BC0" w:rsidRPr="00BB5C84" w:rsidRDefault="00163BC0" w:rsidP="00163B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BB5C84">
        <w:rPr>
          <w:sz w:val="28"/>
          <w:szCs w:val="28"/>
        </w:rPr>
        <w:t>If nasal packing is in place (e.g. recent surgery/trauma), do not apply to that nostril</w:t>
      </w:r>
      <w:r w:rsidR="00103517">
        <w:rPr>
          <w:sz w:val="28"/>
          <w:szCs w:val="28"/>
        </w:rPr>
        <w:t>.</w:t>
      </w:r>
    </w:p>
    <w:p w:rsidR="00163BC0" w:rsidRPr="00A7580C" w:rsidRDefault="00163BC0" w:rsidP="00163BC0">
      <w:pPr>
        <w:spacing w:after="0" w:line="240" w:lineRule="auto"/>
        <w:jc w:val="both"/>
        <w:rPr>
          <w:rFonts w:cs="Arial"/>
          <w:b/>
          <w:color w:val="2A8F1E"/>
          <w:sz w:val="32"/>
          <w:szCs w:val="32"/>
        </w:rPr>
      </w:pPr>
      <w:r w:rsidRPr="00A7580C">
        <w:rPr>
          <w:rFonts w:cs="Arial"/>
          <w:b/>
          <w:color w:val="2A8F1E"/>
          <w:sz w:val="20"/>
          <w:szCs w:val="20"/>
        </w:rPr>
        <w:br/>
      </w:r>
      <w:r w:rsidRPr="00A7580C">
        <w:rPr>
          <w:rFonts w:cs="Arial"/>
          <w:b/>
          <w:color w:val="2A8F1E"/>
          <w:sz w:val="32"/>
          <w:szCs w:val="32"/>
        </w:rPr>
        <w:t>Missed Doses</w:t>
      </w:r>
    </w:p>
    <w:p w:rsidR="00163BC0" w:rsidRPr="009A5AB6" w:rsidRDefault="00163BC0" w:rsidP="00163BC0">
      <w:pPr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9A5AB6">
        <w:rPr>
          <w:color w:val="000000" w:themeColor="text1"/>
          <w:sz w:val="28"/>
          <w:szCs w:val="28"/>
        </w:rPr>
        <w:t xml:space="preserve">If one dose is missed, restart </w:t>
      </w:r>
      <w:r>
        <w:rPr>
          <w:color w:val="000000" w:themeColor="text1"/>
          <w:sz w:val="28"/>
          <w:szCs w:val="28"/>
        </w:rPr>
        <w:t>iodophor</w:t>
      </w:r>
      <w:r w:rsidRPr="009A5AB6">
        <w:rPr>
          <w:color w:val="000000" w:themeColor="text1"/>
          <w:sz w:val="28"/>
          <w:szCs w:val="28"/>
        </w:rPr>
        <w:t xml:space="preserve"> as soon as possible and go back to the regular schedule. Do </w:t>
      </w:r>
      <w:r w:rsidRPr="009A5AB6">
        <w:rPr>
          <w:i/>
          <w:iCs/>
          <w:color w:val="000000" w:themeColor="text1"/>
          <w:sz w:val="28"/>
          <w:szCs w:val="28"/>
        </w:rPr>
        <w:t>not</w:t>
      </w:r>
      <w:r w:rsidRPr="009A5AB6">
        <w:rPr>
          <w:color w:val="000000" w:themeColor="text1"/>
          <w:sz w:val="28"/>
          <w:szCs w:val="28"/>
        </w:rPr>
        <w:t xml:space="preserve"> double up doses. </w:t>
      </w:r>
      <w:r>
        <w:rPr>
          <w:color w:val="000000" w:themeColor="text1"/>
          <w:sz w:val="28"/>
          <w:szCs w:val="28"/>
        </w:rPr>
        <w:t>If more than 1</w:t>
      </w:r>
      <w:r w:rsidRPr="009A5AB6">
        <w:rPr>
          <w:color w:val="000000" w:themeColor="text1"/>
          <w:sz w:val="28"/>
          <w:szCs w:val="28"/>
        </w:rPr>
        <w:t xml:space="preserve"> day</w:t>
      </w:r>
      <w:r>
        <w:rPr>
          <w:color w:val="000000" w:themeColor="text1"/>
          <w:sz w:val="28"/>
          <w:szCs w:val="28"/>
        </w:rPr>
        <w:t>’s</w:t>
      </w:r>
      <w:r w:rsidRPr="009A5AB6">
        <w:rPr>
          <w:color w:val="000000" w:themeColor="text1"/>
          <w:sz w:val="28"/>
          <w:szCs w:val="28"/>
        </w:rPr>
        <w:t xml:space="preserve"> worth of </w:t>
      </w:r>
      <w:r>
        <w:rPr>
          <w:color w:val="000000" w:themeColor="text1"/>
          <w:sz w:val="28"/>
          <w:szCs w:val="28"/>
        </w:rPr>
        <w:t>iodophor</w:t>
      </w:r>
      <w:r w:rsidRPr="009A5AB6">
        <w:rPr>
          <w:color w:val="000000" w:themeColor="text1"/>
          <w:sz w:val="28"/>
          <w:szCs w:val="28"/>
        </w:rPr>
        <w:t xml:space="preserve"> is missed, the </w:t>
      </w:r>
      <w:r>
        <w:rPr>
          <w:color w:val="000000" w:themeColor="text1"/>
          <w:sz w:val="28"/>
          <w:szCs w:val="28"/>
        </w:rPr>
        <w:t>resident</w:t>
      </w:r>
      <w:r w:rsidRPr="009A5AB6">
        <w:rPr>
          <w:color w:val="000000" w:themeColor="text1"/>
          <w:sz w:val="28"/>
          <w:szCs w:val="28"/>
        </w:rPr>
        <w:t xml:space="preserve"> will need to restart the 5 days of therapy. </w:t>
      </w:r>
    </w:p>
    <w:p w:rsidR="00163BC0" w:rsidRPr="00A7580C" w:rsidRDefault="00163BC0" w:rsidP="00163BC0">
      <w:pPr>
        <w:spacing w:after="0" w:line="240" w:lineRule="auto"/>
        <w:jc w:val="both"/>
        <w:rPr>
          <w:rFonts w:cs="Arial"/>
          <w:b/>
          <w:color w:val="2A8F1E"/>
          <w:sz w:val="32"/>
          <w:szCs w:val="32"/>
        </w:rPr>
      </w:pPr>
      <w:r w:rsidRPr="00A7580C">
        <w:rPr>
          <w:rFonts w:cs="Arial"/>
          <w:color w:val="2A8F1E"/>
          <w:sz w:val="20"/>
          <w:szCs w:val="20"/>
        </w:rPr>
        <w:br/>
      </w:r>
      <w:r w:rsidR="00C23371">
        <w:rPr>
          <w:rFonts w:cs="Arial"/>
          <w:b/>
          <w:color w:val="2A8F1E"/>
          <w:sz w:val="32"/>
          <w:szCs w:val="32"/>
        </w:rPr>
        <w:t>Side effects</w:t>
      </w:r>
    </w:p>
    <w:p w:rsidR="00BD2EA9" w:rsidRPr="0044585E" w:rsidRDefault="00163BC0" w:rsidP="0044585E">
      <w:pPr>
        <w:spacing w:after="0" w:line="240" w:lineRule="auto"/>
        <w:jc w:val="both"/>
        <w:rPr>
          <w:rFonts w:cs="Arial"/>
          <w:sz w:val="29"/>
          <w:szCs w:val="29"/>
        </w:rPr>
      </w:pPr>
      <w:bookmarkStart w:id="0" w:name="_GoBack"/>
      <w:bookmarkEnd w:id="0"/>
      <w:r w:rsidRPr="002D2494">
        <w:rPr>
          <w:rFonts w:cs="Arial"/>
          <w:sz w:val="28"/>
          <w:szCs w:val="28"/>
        </w:rPr>
        <w:t xml:space="preserve">Allergic reactions are rare, but can occur.  </w:t>
      </w:r>
      <w:r w:rsidRPr="002D2494">
        <w:rPr>
          <w:rFonts w:cs="Arial"/>
          <w:bCs/>
          <w:sz w:val="28"/>
          <w:szCs w:val="28"/>
        </w:rPr>
        <w:t xml:space="preserve">If the </w:t>
      </w:r>
      <w:r>
        <w:rPr>
          <w:rFonts w:cs="Arial"/>
          <w:bCs/>
          <w:sz w:val="28"/>
          <w:szCs w:val="28"/>
        </w:rPr>
        <w:t>resident</w:t>
      </w:r>
      <w:r w:rsidRPr="002D2494">
        <w:rPr>
          <w:rFonts w:cs="Arial"/>
          <w:bCs/>
          <w:sz w:val="28"/>
          <w:szCs w:val="28"/>
        </w:rPr>
        <w:t xml:space="preserve"> experiences a reaction possibly related to the product, contact the </w:t>
      </w:r>
      <w:r>
        <w:rPr>
          <w:rFonts w:cs="Arial"/>
          <w:bCs/>
          <w:sz w:val="28"/>
          <w:szCs w:val="28"/>
        </w:rPr>
        <w:t>resident’s</w:t>
      </w:r>
      <w:r w:rsidRPr="002D2494">
        <w:rPr>
          <w:rFonts w:cs="Arial"/>
          <w:bCs/>
          <w:sz w:val="28"/>
          <w:szCs w:val="28"/>
        </w:rPr>
        <w:t xml:space="preserve"> treating physician for all clinical decisions on whether to stop the product or provide any medication to address a possible reaction. </w:t>
      </w:r>
    </w:p>
    <w:sectPr w:rsidR="00BD2EA9" w:rsidRPr="0044585E" w:rsidSect="0044585E">
      <w:footerReference w:type="default" r:id="rId9"/>
      <w:pgSz w:w="12240" w:h="15840"/>
      <w:pgMar w:top="1440" w:right="1440" w:bottom="900" w:left="1440" w:header="720" w:footer="72" w:gutter="0"/>
      <w:pgBorders w:offsetFrom="page">
        <w:top w:val="thinThickSmallGap" w:sz="18" w:space="24" w:color="4D4D4D"/>
        <w:left w:val="thinThickSmallGap" w:sz="18" w:space="24" w:color="4D4D4D"/>
        <w:bottom w:val="thickThinSmallGap" w:sz="18" w:space="24" w:color="4D4D4D"/>
        <w:right w:val="thickThinSmallGap" w:sz="18" w:space="24" w:color="4D4D4D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2D8" w:rsidRDefault="00DD32D8" w:rsidP="00450F28">
      <w:pPr>
        <w:spacing w:after="0" w:line="240" w:lineRule="auto"/>
      </w:pPr>
      <w:r>
        <w:separator/>
      </w:r>
    </w:p>
  </w:endnote>
  <w:endnote w:type="continuationSeparator" w:id="0">
    <w:p w:rsidR="00DD32D8" w:rsidRDefault="00DD32D8" w:rsidP="0045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46479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4EB0" w:rsidRDefault="000E4E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128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7D07" w:rsidRDefault="00EB7D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2D8" w:rsidRDefault="00DD32D8" w:rsidP="00450F28">
      <w:pPr>
        <w:spacing w:after="0" w:line="240" w:lineRule="auto"/>
      </w:pPr>
      <w:r>
        <w:separator/>
      </w:r>
    </w:p>
  </w:footnote>
  <w:footnote w:type="continuationSeparator" w:id="0">
    <w:p w:rsidR="00DD32D8" w:rsidRDefault="00DD32D8" w:rsidP="00450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85DDF"/>
    <w:multiLevelType w:val="hybridMultilevel"/>
    <w:tmpl w:val="A8A2F278"/>
    <w:lvl w:ilvl="0" w:tplc="9BF0DA4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50150"/>
    <w:multiLevelType w:val="hybridMultilevel"/>
    <w:tmpl w:val="31445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162F1"/>
    <w:multiLevelType w:val="hybridMultilevel"/>
    <w:tmpl w:val="5ECADDD0"/>
    <w:lvl w:ilvl="0" w:tplc="0B5C30B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73CF2"/>
    <w:multiLevelType w:val="hybridMultilevel"/>
    <w:tmpl w:val="C67AC8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609D2"/>
    <w:multiLevelType w:val="hybridMultilevel"/>
    <w:tmpl w:val="69FC5BA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7E6ECE2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36FCEF8E">
      <w:start w:val="5"/>
      <w:numFmt w:val="upperLetter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26F92"/>
    <w:multiLevelType w:val="hybridMultilevel"/>
    <w:tmpl w:val="B09833DE"/>
    <w:lvl w:ilvl="0" w:tplc="C67C1A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C5694B"/>
    <w:multiLevelType w:val="hybridMultilevel"/>
    <w:tmpl w:val="5490743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51184FF6"/>
    <w:multiLevelType w:val="hybridMultilevel"/>
    <w:tmpl w:val="17403308"/>
    <w:lvl w:ilvl="0" w:tplc="F266D5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43723C"/>
    <w:multiLevelType w:val="hybridMultilevel"/>
    <w:tmpl w:val="79C4C056"/>
    <w:lvl w:ilvl="0" w:tplc="12ACD2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FA37C9"/>
    <w:multiLevelType w:val="hybridMultilevel"/>
    <w:tmpl w:val="FB14B4BA"/>
    <w:lvl w:ilvl="0" w:tplc="A2C4D0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9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B75"/>
    <w:rsid w:val="000022DF"/>
    <w:rsid w:val="0004353F"/>
    <w:rsid w:val="00043E1F"/>
    <w:rsid w:val="00044673"/>
    <w:rsid w:val="00062066"/>
    <w:rsid w:val="00095921"/>
    <w:rsid w:val="000B4A74"/>
    <w:rsid w:val="000E3547"/>
    <w:rsid w:val="000E4EB0"/>
    <w:rsid w:val="00103517"/>
    <w:rsid w:val="00111401"/>
    <w:rsid w:val="00126659"/>
    <w:rsid w:val="00132CDA"/>
    <w:rsid w:val="00147772"/>
    <w:rsid w:val="00154952"/>
    <w:rsid w:val="00156813"/>
    <w:rsid w:val="00163BC0"/>
    <w:rsid w:val="00175FDE"/>
    <w:rsid w:val="00180482"/>
    <w:rsid w:val="001C5451"/>
    <w:rsid w:val="001E233A"/>
    <w:rsid w:val="001F5FAE"/>
    <w:rsid w:val="0020334C"/>
    <w:rsid w:val="00217FEB"/>
    <w:rsid w:val="002460E4"/>
    <w:rsid w:val="00261C62"/>
    <w:rsid w:val="0027205A"/>
    <w:rsid w:val="00286430"/>
    <w:rsid w:val="002B6077"/>
    <w:rsid w:val="002D2494"/>
    <w:rsid w:val="00305B89"/>
    <w:rsid w:val="0032638C"/>
    <w:rsid w:val="00326CDD"/>
    <w:rsid w:val="0033473E"/>
    <w:rsid w:val="003549FB"/>
    <w:rsid w:val="00371A34"/>
    <w:rsid w:val="00382F2A"/>
    <w:rsid w:val="003979B6"/>
    <w:rsid w:val="003F53B7"/>
    <w:rsid w:val="003F77AC"/>
    <w:rsid w:val="003F7FFB"/>
    <w:rsid w:val="0044585E"/>
    <w:rsid w:val="00450F28"/>
    <w:rsid w:val="004B128D"/>
    <w:rsid w:val="004B1382"/>
    <w:rsid w:val="004C0202"/>
    <w:rsid w:val="004D53E4"/>
    <w:rsid w:val="005001C3"/>
    <w:rsid w:val="00502492"/>
    <w:rsid w:val="00502A0E"/>
    <w:rsid w:val="0052061C"/>
    <w:rsid w:val="005624EF"/>
    <w:rsid w:val="00594F8D"/>
    <w:rsid w:val="00595CBE"/>
    <w:rsid w:val="005A68B4"/>
    <w:rsid w:val="005B2DA5"/>
    <w:rsid w:val="00616B75"/>
    <w:rsid w:val="00622312"/>
    <w:rsid w:val="00624DDD"/>
    <w:rsid w:val="006264A9"/>
    <w:rsid w:val="0068130F"/>
    <w:rsid w:val="006A6922"/>
    <w:rsid w:val="006D28F8"/>
    <w:rsid w:val="00703AD9"/>
    <w:rsid w:val="00705126"/>
    <w:rsid w:val="007140DC"/>
    <w:rsid w:val="00723AB0"/>
    <w:rsid w:val="00732158"/>
    <w:rsid w:val="00752746"/>
    <w:rsid w:val="00767BA9"/>
    <w:rsid w:val="00786AFC"/>
    <w:rsid w:val="00793C60"/>
    <w:rsid w:val="007E45C6"/>
    <w:rsid w:val="007E49F3"/>
    <w:rsid w:val="007E4D4E"/>
    <w:rsid w:val="007F6228"/>
    <w:rsid w:val="00850732"/>
    <w:rsid w:val="008707EF"/>
    <w:rsid w:val="00874190"/>
    <w:rsid w:val="008E1A9C"/>
    <w:rsid w:val="00927ACF"/>
    <w:rsid w:val="00932489"/>
    <w:rsid w:val="0095347B"/>
    <w:rsid w:val="00981E80"/>
    <w:rsid w:val="009A5AB6"/>
    <w:rsid w:val="009C6C9B"/>
    <w:rsid w:val="009E1ED4"/>
    <w:rsid w:val="009F7F98"/>
    <w:rsid w:val="00A032E8"/>
    <w:rsid w:val="00A0631E"/>
    <w:rsid w:val="00A507DE"/>
    <w:rsid w:val="00A507F0"/>
    <w:rsid w:val="00A6037F"/>
    <w:rsid w:val="00A65B5E"/>
    <w:rsid w:val="00A7580C"/>
    <w:rsid w:val="00A81815"/>
    <w:rsid w:val="00AB035C"/>
    <w:rsid w:val="00AB50C9"/>
    <w:rsid w:val="00AB6CD2"/>
    <w:rsid w:val="00AD5AE8"/>
    <w:rsid w:val="00AE34F7"/>
    <w:rsid w:val="00B525EB"/>
    <w:rsid w:val="00B66037"/>
    <w:rsid w:val="00B91DF7"/>
    <w:rsid w:val="00BD2EA9"/>
    <w:rsid w:val="00C07DBA"/>
    <w:rsid w:val="00C23371"/>
    <w:rsid w:val="00C426BE"/>
    <w:rsid w:val="00C97FEF"/>
    <w:rsid w:val="00CA1DC6"/>
    <w:rsid w:val="00CC54B2"/>
    <w:rsid w:val="00CE280D"/>
    <w:rsid w:val="00CF5479"/>
    <w:rsid w:val="00D02A81"/>
    <w:rsid w:val="00D50350"/>
    <w:rsid w:val="00D52812"/>
    <w:rsid w:val="00D66F88"/>
    <w:rsid w:val="00D73760"/>
    <w:rsid w:val="00D81E6E"/>
    <w:rsid w:val="00D83507"/>
    <w:rsid w:val="00D85471"/>
    <w:rsid w:val="00D90386"/>
    <w:rsid w:val="00DA6884"/>
    <w:rsid w:val="00DD32D8"/>
    <w:rsid w:val="00E00F59"/>
    <w:rsid w:val="00E13E53"/>
    <w:rsid w:val="00E14E73"/>
    <w:rsid w:val="00E65432"/>
    <w:rsid w:val="00E75DE0"/>
    <w:rsid w:val="00E91EE2"/>
    <w:rsid w:val="00EB7D07"/>
    <w:rsid w:val="00F24F18"/>
    <w:rsid w:val="00F302FD"/>
    <w:rsid w:val="00F564F5"/>
    <w:rsid w:val="00F829BC"/>
    <w:rsid w:val="00F87FE5"/>
    <w:rsid w:val="00FC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A1246980-C28B-41A7-A40A-302C6781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B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B7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16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B75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50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7F0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semiHidden/>
    <w:rsid w:val="00B91DF7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B91DF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B91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DF7"/>
    <w:pPr>
      <w:spacing w:before="100" w:beforeAutospacing="1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DF7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DF7"/>
    <w:rPr>
      <w:rFonts w:ascii="Tahoma" w:eastAsia="Calibri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A0E"/>
    <w:pPr>
      <w:spacing w:before="0" w:beforeAutospacing="0"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A0E"/>
    <w:rPr>
      <w:rFonts w:ascii="Calibri" w:eastAsia="Calibri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B7D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7F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0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BCC20-901B-4C99-A47D-F6A6E5248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HAIS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heiml</dc:creator>
  <cp:lastModifiedBy>Macapulay, Jessica</cp:lastModifiedBy>
  <cp:revision>4</cp:revision>
  <dcterms:created xsi:type="dcterms:W3CDTF">2019-07-16T03:38:00Z</dcterms:created>
  <dcterms:modified xsi:type="dcterms:W3CDTF">2019-09-12T16:13:00Z</dcterms:modified>
</cp:coreProperties>
</file>